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42BC">
      <w:pPr>
        <w:pStyle w:val="newncpi0"/>
        <w:jc w:val="center"/>
        <w:divId w:val="379091491"/>
      </w:pPr>
      <w:bookmarkStart w:id="0" w:name="_GoBack"/>
      <w:bookmarkEnd w:id="0"/>
      <w:r>
        <w:t> </w:t>
      </w:r>
    </w:p>
    <w:p w:rsidR="00000000" w:rsidRDefault="00AB42BC">
      <w:pPr>
        <w:pStyle w:val="newncpi0"/>
        <w:jc w:val="center"/>
        <w:divId w:val="379091491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AB42BC">
      <w:pPr>
        <w:pStyle w:val="newncpi"/>
        <w:ind w:firstLine="0"/>
        <w:jc w:val="center"/>
        <w:divId w:val="379091491"/>
      </w:pPr>
      <w:r>
        <w:rPr>
          <w:rStyle w:val="datepr"/>
        </w:rPr>
        <w:t>24 января 2008 г.</w:t>
      </w:r>
      <w:r>
        <w:rPr>
          <w:rStyle w:val="number"/>
        </w:rPr>
        <w:t xml:space="preserve"> № 100</w:t>
      </w:r>
    </w:p>
    <w:p w:rsidR="00000000" w:rsidRDefault="00AB42BC">
      <w:pPr>
        <w:pStyle w:val="title"/>
        <w:divId w:val="379091491"/>
      </w:pPr>
      <w:r>
        <w:rPr>
          <w:color w:val="000080"/>
        </w:rPr>
        <w:t>О предоставлении основного отпуска продолжительностью более 24 календарных дней</w:t>
      </w:r>
    </w:p>
    <w:p w:rsidR="00000000" w:rsidRDefault="00AB42BC">
      <w:pPr>
        <w:pStyle w:val="changei"/>
        <w:divId w:val="379091491"/>
      </w:pPr>
      <w:r>
        <w:t>Изменения и дополнения:</w:t>
      </w:r>
    </w:p>
    <w:p w:rsidR="00000000" w:rsidRDefault="00AB42BC">
      <w:pPr>
        <w:pStyle w:val="changeadd"/>
        <w:divId w:val="37909149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8 сентября 2008 г. № 1308 (Национальный реестр правовых актов Республики Беларусь, 2008 г., № 222, 5/28324);</w:t>
      </w:r>
    </w:p>
    <w:p w:rsidR="00000000" w:rsidRDefault="00AB42BC">
      <w:pPr>
        <w:pStyle w:val="changeadd"/>
        <w:divId w:val="37909149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</w:t>
      </w:r>
      <w:r>
        <w:t>августа 2009 г. № 1048 (Национальный реестр правовых актов Республики Беларусь, 2009 г., № 196, 5/30298);</w:t>
      </w:r>
    </w:p>
    <w:p w:rsidR="00000000" w:rsidRDefault="00AB42BC">
      <w:pPr>
        <w:pStyle w:val="changeadd"/>
        <w:divId w:val="37909149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мая 2011 г. № 679 (Национальный реестр пра</w:t>
      </w:r>
      <w:r>
        <w:t>вовых актов Республики Беларусь, 2011 г., № 63, 5/33867);</w:t>
      </w:r>
    </w:p>
    <w:p w:rsidR="00000000" w:rsidRDefault="00AB42BC">
      <w:pPr>
        <w:pStyle w:val="changeadd"/>
        <w:divId w:val="37909149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октября 2011 г. № 1418 (Национальный реестр правовых актов Республики Беларусь, 2011 г., №</w:t>
      </w:r>
      <w:r>
        <w:t> 120, 5/34651);</w:t>
      </w:r>
    </w:p>
    <w:p w:rsidR="00000000" w:rsidRDefault="00AB42BC">
      <w:pPr>
        <w:pStyle w:val="changeadd"/>
        <w:divId w:val="37909149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февраля 2014 г. № 133 (Национальный правовой Интернет-портал Республики Беларусь, 21.02.2014, 5/38449);</w:t>
      </w:r>
    </w:p>
    <w:p w:rsidR="00000000" w:rsidRDefault="00AB42BC">
      <w:pPr>
        <w:pStyle w:val="changeadd"/>
        <w:divId w:val="379091491"/>
      </w:pPr>
      <w:hyperlink r:id="rId9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49 (Национальный правовой Интернет-портал Республики Беларусь, 01.02.2020, 5/47743) - внесены изменения и дополнения, вступившие в силу 28 января 2020 г., за и</w:t>
      </w:r>
      <w:r>
        <w:t>сключением изменений и дополнений, которые вступят в силу 2 февраля 2020 г.;</w:t>
      </w:r>
    </w:p>
    <w:p w:rsidR="00000000" w:rsidRDefault="00AB42BC">
      <w:pPr>
        <w:pStyle w:val="changeadd"/>
        <w:divId w:val="379091491"/>
      </w:pPr>
      <w:hyperlink r:id="rId10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49 (Национальный правовой Интернет-портал Республики Б</w:t>
      </w:r>
      <w:r>
        <w:t>еларусь, 01.02.2020, 5/47743) - внесены изменения и дополнения, вступившие в силу 28 января 2020 г. и 2 февраля 2020 г.;</w:t>
      </w:r>
    </w:p>
    <w:p w:rsidR="00000000" w:rsidRDefault="00AB42BC">
      <w:pPr>
        <w:pStyle w:val="changeadd"/>
        <w:divId w:val="379091491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мая 2021 г. № 283 (Национал</w:t>
      </w:r>
      <w:r>
        <w:t>ьный правовой Интернет-портал Республики Беларусь, 25.05.2021, 5/49082);</w:t>
      </w:r>
    </w:p>
    <w:p w:rsidR="00000000" w:rsidRDefault="00AB42BC">
      <w:pPr>
        <w:pStyle w:val="changeadd"/>
        <w:divId w:val="379091491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августа 2022 г. № 527 (Национальный правовой Интернет-портал Республики Бел</w:t>
      </w:r>
      <w:r>
        <w:t>арусь, 16.08.2022, 5/50576)</w:t>
      </w:r>
    </w:p>
    <w:p w:rsidR="00000000" w:rsidRDefault="00AB42BC">
      <w:pPr>
        <w:pStyle w:val="newncpi"/>
        <w:divId w:val="379091491"/>
      </w:pPr>
      <w:r>
        <w:t> </w:t>
      </w:r>
    </w:p>
    <w:p w:rsidR="00000000" w:rsidRDefault="00AB42BC">
      <w:pPr>
        <w:pStyle w:val="preamble"/>
        <w:divId w:val="379091491"/>
      </w:pPr>
      <w:r>
        <w:t xml:space="preserve">В целях реализации </w:t>
      </w:r>
      <w:hyperlink r:id="rId13" w:anchor="a6905" w:tooltip="+" w:history="1">
        <w:r>
          <w:rPr>
            <w:rStyle w:val="a3"/>
          </w:rPr>
          <w:t>статьи 155</w:t>
        </w:r>
      </w:hyperlink>
      <w:r>
        <w:t xml:space="preserve"> Трудового кодекса Республики Беларусь Совет Министров Республики Беларусь ПОСТАНОВЛЯЕТ:</w:t>
      </w:r>
    </w:p>
    <w:p w:rsidR="00000000" w:rsidRDefault="00AB42BC">
      <w:pPr>
        <w:pStyle w:val="point"/>
        <w:divId w:val="379091491"/>
      </w:pPr>
      <w:r>
        <w:t>1. Установить:</w:t>
      </w:r>
    </w:p>
    <w:p w:rsidR="00000000" w:rsidRDefault="00AB42BC">
      <w:pPr>
        <w:pStyle w:val="underpoint"/>
        <w:divId w:val="379091491"/>
      </w:pPr>
      <w:r>
        <w:t>1.1. перечень организаций и должносте</w:t>
      </w:r>
      <w:r>
        <w:t xml:space="preserve">й служащих педагогических работников, продолжительность основного отпуска которых составляет более 24 календарных дней, согласно </w:t>
      </w:r>
      <w:hyperlink w:anchor="a58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AB42BC">
      <w:pPr>
        <w:pStyle w:val="underpoint"/>
        <w:divId w:val="379091491"/>
      </w:pPr>
      <w:r>
        <w:t xml:space="preserve">1.2. перечень категорий работников, продолжительность основного отпуска которых </w:t>
      </w:r>
      <w:r>
        <w:t xml:space="preserve">составляет более 24 календарных дней,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AB42BC">
      <w:pPr>
        <w:pStyle w:val="point"/>
        <w:divId w:val="379091491"/>
      </w:pPr>
      <w:bookmarkStart w:id="2" w:name="a38"/>
      <w:bookmarkEnd w:id="2"/>
      <w:r>
        <w:t>2. Определить, что:</w:t>
      </w:r>
    </w:p>
    <w:p w:rsidR="00000000" w:rsidRDefault="00AB42BC">
      <w:pPr>
        <w:pStyle w:val="underpoint"/>
        <w:divId w:val="379091491"/>
      </w:pPr>
      <w:bookmarkStart w:id="3" w:name="a6"/>
      <w:bookmarkEnd w:id="3"/>
      <w:r>
        <w:t xml:space="preserve">2.1. основной отпуск продолжительностью более 24 календарных дней предоставляется на условиях, предусмотренных Трудовым </w:t>
      </w:r>
      <w:hyperlink r:id="rId14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а работникам </w:t>
      </w:r>
      <w:r>
        <w:lastRenderedPageBreak/>
        <w:t>профессиональных аварийно-спасательных служб, кроме того, при условии прохождения ими аттестации на проведение аварийно-спасательных работ в порядке, установленном законодательство</w:t>
      </w:r>
      <w:r>
        <w:t>м;</w:t>
      </w:r>
    </w:p>
    <w:p w:rsidR="00000000" w:rsidRDefault="00AB42BC">
      <w:pPr>
        <w:pStyle w:val="underpoint"/>
        <w:divId w:val="379091491"/>
      </w:pPr>
      <w:bookmarkStart w:id="4" w:name="a7"/>
      <w:bookmarkEnd w:id="4"/>
      <w:r>
        <w:t>2.2. продолжительность основного отпуска определяется пропорционально отработанному времени:</w:t>
      </w:r>
    </w:p>
    <w:p w:rsidR="00000000" w:rsidRDefault="00AB42BC">
      <w:pPr>
        <w:pStyle w:val="underpoint"/>
        <w:divId w:val="379091491"/>
      </w:pPr>
      <w:bookmarkStart w:id="5" w:name="a21"/>
      <w:bookmarkEnd w:id="5"/>
      <w:r>
        <w:t>2.2.1. при достижении совершеннолетия в течение рабочего года работником моложе 18 лет за время, проработанное до исполнения 18 лет, – из расчета 30 календарных</w:t>
      </w:r>
      <w:r>
        <w:t xml:space="preserve"> дней, за остальное время рабочего года – из расчета продолжительности основного отпуска, установленного согласно выполняемой работе;</w:t>
      </w:r>
    </w:p>
    <w:p w:rsidR="00000000" w:rsidRDefault="00AB42BC">
      <w:pPr>
        <w:pStyle w:val="underpoint"/>
        <w:divId w:val="379091491"/>
      </w:pPr>
      <w:bookmarkStart w:id="6" w:name="a17"/>
      <w:bookmarkEnd w:id="6"/>
      <w:r>
        <w:t>2.2.2. работнику, имеющему инвалидность, если в течение рабочего года при очередном переосвидетельствовании медико-реабили</w:t>
      </w:r>
      <w:r>
        <w:t>тационной экспертной комиссией группа инвалидности не устанавливается, за время его нахождения на группе инвалидности в данном рабочем году – из расчета 30 календарных дней, за остальное время рабочего года – из расчета продолжительности основного отпуска,</w:t>
      </w:r>
      <w:r>
        <w:t xml:space="preserve"> установленного согласно выполняемой работе.</w:t>
      </w:r>
    </w:p>
    <w:p w:rsidR="00000000" w:rsidRDefault="00AB42BC">
      <w:pPr>
        <w:pStyle w:val="point"/>
        <w:divId w:val="379091491"/>
      </w:pPr>
      <w:r>
        <w:t>3. Признать утратившими силу:</w:t>
      </w:r>
    </w:p>
    <w:p w:rsidR="00000000" w:rsidRDefault="00AB42BC">
      <w:pPr>
        <w:pStyle w:val="newncpi"/>
        <w:divId w:val="379091491"/>
      </w:pPr>
      <w:hyperlink r:id="rId15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1992 г. № 15 «О продолжительности ежегодного отпуска мастера произво</w:t>
      </w:r>
      <w:r>
        <w:t>дственного обучения учреждений образования республики» (СП Республики Беларусь, 1992 г., № 1, ст. 13);</w:t>
      </w:r>
    </w:p>
    <w:p w:rsidR="00000000" w:rsidRDefault="00AB42BC">
      <w:pPr>
        <w:pStyle w:val="newncpi"/>
        <w:divId w:val="379091491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сентября 1997 г. № </w:t>
      </w:r>
      <w:r>
        <w:t>1300 «О продолжительности ежегодного отпуска психолога, социального педагога, педагога-организатора учреждений образования» (Собрание декретов, указов Президента и постановлений Правительства Республики Беларусь, 1997 г., № 28, ст. 921);</w:t>
      </w:r>
    </w:p>
    <w:p w:rsidR="00000000" w:rsidRDefault="00AB42BC">
      <w:pPr>
        <w:pStyle w:val="newncpi"/>
        <w:divId w:val="379091491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1998 г. № 2025 «О продолжительности ежегодного отпуска работников научно-исследовательских институтов (подразделений) системы Министерства здравоохранения, име</w:t>
      </w:r>
      <w:r>
        <w:t>ющих ученую степень»;</w:t>
      </w:r>
    </w:p>
    <w:p w:rsidR="00000000" w:rsidRDefault="00AB42BC">
      <w:pPr>
        <w:pStyle w:val="newncpi"/>
        <w:divId w:val="379091491"/>
      </w:pPr>
      <w:hyperlink r:id="rId1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2000 г. № </w:t>
      </w:r>
      <w:r>
        <w:t>766 «О продолжительности дополнительного отпуска и основного удлиненного отпуска работников Республики Беларусь за работу в странах с тяжелыми климатическими условиями» (Национальный реестр правовых актов Республики Беларусь, 2000 г., № 53, 5/3288);</w:t>
      </w:r>
    </w:p>
    <w:p w:rsidR="00000000" w:rsidRDefault="00AB42BC">
      <w:pPr>
        <w:pStyle w:val="newncpi"/>
        <w:divId w:val="379091491"/>
      </w:pP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сентября 2000 г. № 1430 «Об утверждении Перечня должностей творческих работников Творческого объединения «Национальный академический Большой театр оперы и б</w:t>
      </w:r>
      <w:r>
        <w:t>алета Республики Беларусь», Национального академического театра оперы Республики Беларусь и Национального академического театра балета Республики Беларусь, которым устанавливается основной удлиненный отпуск» (Национальный реестр правовых актов Республики Б</w:t>
      </w:r>
      <w:r>
        <w:t>еларусь, 2000 г., № 90, 5/4079);</w:t>
      </w:r>
    </w:p>
    <w:p w:rsidR="00000000" w:rsidRDefault="00AB42BC">
      <w:pPr>
        <w:pStyle w:val="newncpi"/>
        <w:divId w:val="379091491"/>
      </w:pPr>
      <w:hyperlink r:id="rId2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мая 2001 г. № 773 «Об установлении основного удлиненного отпуска работникам организаций электроэнергетической промышле</w:t>
      </w:r>
      <w:r>
        <w:t>нности» (Национальный реестр правовых актов Республики Беларусь, 2001 г., № 53, 5/6063).</w:t>
      </w:r>
    </w:p>
    <w:p w:rsidR="00000000" w:rsidRDefault="00AB42BC">
      <w:pPr>
        <w:pStyle w:val="point"/>
        <w:divId w:val="379091491"/>
      </w:pPr>
      <w:r>
        <w:t>4. Настоящее постановление вступает в силу с 26 января 2008 г.</w:t>
      </w:r>
    </w:p>
    <w:p w:rsidR="00000000" w:rsidRDefault="00AB42BC">
      <w:pPr>
        <w:pStyle w:val="newncpi"/>
        <w:divId w:val="3790914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790914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AB42BC">
      <w:pPr>
        <w:pStyle w:val="newncpi"/>
        <w:divId w:val="379091491"/>
      </w:pPr>
      <w:r>
        <w:t> </w:t>
      </w:r>
    </w:p>
    <w:p w:rsidR="00000000" w:rsidRDefault="00AB42BC">
      <w:pPr>
        <w:pStyle w:val="newncpi0"/>
        <w:divId w:val="3790914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37909149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append1"/>
            </w:pPr>
            <w:bookmarkStart w:id="7" w:name="a58"/>
            <w:bookmarkEnd w:id="7"/>
            <w:r>
              <w:t>Приложение 1</w:t>
            </w:r>
          </w:p>
          <w:p w:rsidR="00000000" w:rsidRDefault="00AB42BC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24.01.2008 № 100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12.08.2022 № 527) </w:t>
            </w:r>
          </w:p>
        </w:tc>
      </w:tr>
    </w:tbl>
    <w:p w:rsidR="00000000" w:rsidRDefault="00AB42BC">
      <w:pPr>
        <w:pStyle w:val="titlep"/>
        <w:jc w:val="left"/>
        <w:divId w:val="379091491"/>
      </w:pPr>
      <w:bookmarkStart w:id="8" w:name="a56"/>
      <w:bookmarkEnd w:id="8"/>
      <w:r>
        <w:t>ПЕРЕЧЕНЬ</w:t>
      </w:r>
      <w:r>
        <w:br/>
        <w:t>организаций и должностей служащих педагогических работников, продолжительность основного отпуска</w:t>
      </w:r>
      <w:r>
        <w:t xml:space="preserve"> которых составляет более 24 календарных дней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096"/>
        <w:gridCol w:w="2292"/>
      </w:tblGrid>
      <w:tr w:rsidR="00000000">
        <w:trPr>
          <w:divId w:val="379091491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B42B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B42BC">
            <w:pPr>
              <w:pStyle w:val="table10"/>
              <w:jc w:val="center"/>
            </w:pPr>
            <w:r>
              <w:t>Наименование должностей служащих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B42BC">
            <w:pPr>
              <w:pStyle w:val="table10"/>
              <w:jc w:val="center"/>
            </w:pPr>
            <w:r>
              <w:t>Продолжительность основного отпуска (в календарных днях)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9" w:name="a62"/>
            <w:bookmarkEnd w:id="9"/>
            <w:r>
              <w:t>1. Учреждения общего среднего образования, учреждения среднего специального образования (кроме обособленных и структурных подразделений при реализации образовательных программ дополнительного образования взрослых, за исключением образовательной программы п</w:t>
            </w:r>
            <w:r>
              <w:t>одготовки лиц к поступлению в учреждения образования Республики Беларусь), специальные школы, специальные школы-интернаты, центры коррекционно-развивающего обучения и реабилитации, специальные учебно-воспитательные учреждения, специальные лечебно-воспитате</w:t>
            </w:r>
            <w:r>
              <w:t>льные учреждения, детские школы искусств, учреждение образования «Национальный детский образовательно-оздоровительный центр «Зубренок», учреждение образования «Национальный детский технопарк», государственное учреждение образования «Минский городской образ</w:t>
            </w:r>
            <w:r>
              <w:t>овательно-оздоровительный центр «Лидер», обособленные и структурные подразделения учреждений образования при реализации образовательных программ общего среднего образования, профессионально-технического образования и среднего специального образования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дирек</w:t>
            </w:r>
            <w:r>
              <w:t xml:space="preserve">тора (начальники, заведующие), заместители директоров (начальников, заведующих) по учебной, учебно-воспитательной, учебно-методической, учебно-производственной, воспитательной работе, производственному обучению, работе с иностранными учащимися, по спорту, </w:t>
            </w:r>
            <w:r>
              <w:t>основной деятельности, заведующие филиалами, общежитиями учреждений общего среднего образования, учебно-консультационными пунктами, отделениями, центрами профессиональной и социальной реабилитации лиц с особенностями психофизического развития, центрами ком</w:t>
            </w:r>
            <w:r>
              <w:t>петенций, ресурсными центрами, начальники отделов воспитательной работы с молодежью, преподаватели, учителя, учителя-дефектологи, руководители физического воспитания, по военно-патриотическому воспитанию, практики, музыкальные руководители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0" w:name="a57"/>
            <w:bookmarkEnd w:id="10"/>
            <w:r>
              <w:t>2. Учреждени</w:t>
            </w:r>
            <w:r>
              <w:t>я высшего образования (кроме обособленных и структурных подразделений при реализации образовательных программ дополнительного образования взрослых, за исключением образовательной программы подготовки лиц к поступлению в учреждения образования Республики Бе</w:t>
            </w:r>
            <w:r>
              <w:t>ларусь)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ректоры, первые проректоры, проректоры по учебной, научной, воспитательной, лечебной (клинической), летной работе, вечернему, заочному, производственному обучению, заведующие подготовительными отделениями, директора (начальники, заведующие) структу</w:t>
            </w:r>
            <w:r>
              <w:t xml:space="preserve">рных подразделений по основной деятельности и их заместители по основной деятельности, заведующие докторантурами, аспирантурами, резидентурами, магистратурами, интернатурами, учебно-консультационными пунктами, деканы и их заместители, заведующие кафедрами </w:t>
            </w:r>
            <w:r>
              <w:t>(начальники кафедр), профессора, доценты, старшие преподаватели, преподаватели (ассистенты), преподаватели-</w:t>
            </w:r>
            <w:r>
              <w:lastRenderedPageBreak/>
              <w:t>стажеры, руководители практики, начальники (заведующие) управлений, отделов по воспитательной работе с молодежью и их заместители, ученые секретари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lastRenderedPageBreak/>
              <w:t>5</w:t>
            </w:r>
            <w:r>
              <w:t>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1" w:name="a60"/>
            <w:bookmarkEnd w:id="11"/>
            <w:r>
              <w:t>3. Санаторные детские сады и санаторные группы для детей, больных туберкулезом и с риском его развития, страдающих онкологическими заболеваниями, инфицированных вирусом иммунодефицита человека, созданные в качестве структурных подразделений санаторные я</w:t>
            </w:r>
            <w:r>
              <w:t>сли-сады для детей, больных туберкулезом и с риском его развития, страдающих онкологическими заболеваниями, инфицированных вирусом иммунодефицита человека, пункты коррекционно-педагогической помощи в учреждениях образования и иных организациях, которым в с</w:t>
            </w:r>
            <w:r>
              <w:t>оответствии с законодательством предоставлено право осуществлять образовательную деятельность при реализации образовательной программы дошкольного образования, специальные детские сады, дома ребенка, специальные группы и санаторные специальные группы, груп</w:t>
            </w:r>
            <w:r>
              <w:t>пы интегрированного обучения и воспитания и санаторные группы интегрированного обучения и воспитания при реализации образовательных программ специального образования на уровне дошкольного образования, обособленные и структурные подразделения иных организац</w:t>
            </w:r>
            <w:r>
              <w:t>ий, которым в соответствии с законодательством предоставлено право осуществлять образовательную деятельность при реализации образовательных программ специального образования на уровне дошкольного образования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директора, заместители директоров по учебно-мето</w:t>
            </w:r>
            <w:r>
              <w:t>дической, воспитательной работе, заведующие, заместители заведующих по основной деятельности, воспитатели-методисты, воспитатели дошкольного образования, руководители физического воспитания, музыкальные руководители, учителя-дефектологи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2" w:name="a61"/>
            <w:bookmarkEnd w:id="12"/>
            <w:r>
              <w:t>4. Социально-пе</w:t>
            </w:r>
            <w:r>
              <w:t>дагогические учреждения, детские дома семейного типа, приемные семьи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 xml:space="preserve">директора (заведующие), заместители директоров по учебной, учебно-воспитательной, учебно-методической, воспитательной работе, по основной деятельности, заместители директоров по основной </w:t>
            </w:r>
            <w:r>
              <w:t>деятельности – заведующие детскими социальными приютами, заведующие отделами (секторами) по основной деятельности, воспитатели, музыкальные руководители, учителя-дефектологи, родители-воспитатели, приемные родители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3" w:name="a63"/>
            <w:bookmarkEnd w:id="13"/>
            <w:r>
              <w:t>5. Дома-интернаты и специализированны</w:t>
            </w:r>
            <w:r>
              <w:t>е учреждения для детей-инвалидов с особенностями психофизического развития, государственное учреждение «Республиканский реабилитационный центр для детей-инвалидов», обособленные и структурные подразделения организаций здравоохранения для детей с особенност</w:t>
            </w:r>
            <w:r>
              <w:t>ями психофизического развития, психиатрическими, психоневрологическими, онкологическими заболеваниями, больных туберкулезом, а также для больных с острыми нарушениями мозгового кровообращения, нарушениями слуха, голоса и речи, заболеваниями нервной системы</w:t>
            </w:r>
            <w:r>
              <w:t xml:space="preserve"> и поражением опорно-двигательного аппарата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заместители директоров по учебно-воспитательной работе, заведующие отделениями социальной и психологической реабилитации и адаптации, педагоги дополнительного образования, музыкальные руководители, педагоги-психо</w:t>
            </w:r>
            <w:r>
              <w:t>логи, учителя, воспитатели, педагоги-организаторы, педагоги социальные, учителя-дефектологи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4" w:name="a66"/>
            <w:bookmarkEnd w:id="14"/>
            <w:r>
              <w:t xml:space="preserve">6. Санаторные школы-интернаты для детей, </w:t>
            </w:r>
            <w:r>
              <w:lastRenderedPageBreak/>
              <w:t>больных туберкулезом и с </w:t>
            </w:r>
            <w:r>
              <w:t>риском его развития, специальные школы, специальные школы-интернаты, центры коррекционно-развивающего обучения и реабилитации, специальные детские сады, социально-педагогические учреждения, специальные учебно-воспитательные учреждения, специальные лечебно-</w:t>
            </w:r>
            <w:r>
              <w:t xml:space="preserve">воспитательные учреждения 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lastRenderedPageBreak/>
              <w:t xml:space="preserve">педагоги дополнительного образования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5" w:name="a64"/>
            <w:bookmarkEnd w:id="15"/>
            <w:r>
              <w:t>7. Учреждения общего среднего образования (кроме обособленных и структурных подразделений при реализации образовательной программы дошкольного образования), специальные школы, специальные</w:t>
            </w:r>
            <w:r>
              <w:t xml:space="preserve"> школы-интернаты, центры коррекционно-развивающего обучения и реабилитации, специальные учебно-воспитательные учреждения, специальные лечебно-воспитательные учреждения, учреждение образования «Национальный детский образовательно-оздоровительный центр «Зубр</w:t>
            </w:r>
            <w:r>
              <w:t>енок», учреждение образования «Национальный детский технопарк», государственное учреждение образования «Минский городской образовательно-оздоровительный центр «Лидер», обособленные и структурные подразделения учреждений высшего образования при реализации о</w:t>
            </w:r>
            <w:r>
              <w:t>бразовательных программ общего среднего образования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воспитатели, воспитатели дошкольного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8. Учреждения образования (кроме учреждений дополнительного образования детей и молодежи, учреждений дополнительного образования взрослых, воспитательн</w:t>
            </w:r>
            <w:r>
              <w:t>о-оздоровительных учреждений образования), учреждение образования «Национальный детский образовательно-оздоровительный центр «Зубренок», учреждение образования «Национальный детский технопарк», государственное учреждение образования «Минский городской обра</w:t>
            </w:r>
            <w:r>
              <w:t>зовательно-оздоровительный центр «Лидер», обособленные и структурные подразделения иных организаций, которым в соответствии с законодательством предоставлено право осуществлять образовательную деятельность при реализации образовательной программы дошкольно</w:t>
            </w:r>
            <w:r>
              <w:t xml:space="preserve">го образования и образовательных программ специального образования на уровне дошкольного образования 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педагоги-психологи, педагоги социальные, педагоги-организаторы, старшие мастера и мастера производственного обучения учреждений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56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6" w:name="a59"/>
            <w:bookmarkEnd w:id="16"/>
            <w:r>
              <w:t>9. Специал</w:t>
            </w:r>
            <w:r>
              <w:t>изированные учебно-спортивные учреждения, учреждения общего среднего образования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тренеры-преподаватели по спорту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42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7" w:name="a65"/>
            <w:bookmarkEnd w:id="17"/>
            <w:r>
              <w:t>10. Учреждения дошкольного образования (кроме указанных в </w:t>
            </w:r>
            <w:hyperlink w:anchor="a60" w:tooltip="+" w:history="1">
              <w:r>
                <w:rPr>
                  <w:rStyle w:val="a3"/>
                </w:rPr>
                <w:t>пункте 3</w:t>
              </w:r>
            </w:hyperlink>
            <w:r>
              <w:t xml:space="preserve"> настоящей графы), обособленные и структ</w:t>
            </w:r>
            <w:r>
              <w:t>урные подразделения учреждений образования и иных организаций, которым в соответствии с законодательством предоставлено право осуществлять образовательную деятельность при реализации образовательной программы дошкольного образования (кроме указанных в </w:t>
            </w:r>
            <w:hyperlink w:anchor="a60" w:tooltip="+" w:history="1">
              <w:r>
                <w:rPr>
                  <w:rStyle w:val="a3"/>
                </w:rPr>
                <w:t>пункте 3</w:t>
              </w:r>
            </w:hyperlink>
            <w:r>
              <w:t xml:space="preserve"> настоящей графы) 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заведующие, заместители заведующих по основной деятельности, воспитатели-методисты, воспитатели дошкольного образования, музыкальные руководители, руководители физического воспитания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42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8" w:name="a68"/>
            <w:bookmarkEnd w:id="18"/>
            <w:r>
              <w:lastRenderedPageBreak/>
              <w:t>11. Учреждени</w:t>
            </w:r>
            <w:r>
              <w:t xml:space="preserve">я среднего специального образования, специальные профессионально-технические училища закрытого типа, специальные лечебно-воспитательные профессионально-технические училища закрытого типа, обособленные и структурные подразделения учреждений образования при </w:t>
            </w:r>
            <w:r>
              <w:t>реализации образовательных программ профессионально-технического образования и среднего специального образования, учреждение образования «Национальный детский технопарк»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заведующие учебно-методическими кабинетами, лабораториями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12. Учреждения среднего специального образования, учреждения высшего образования, обособленные и структурные подразделения учреждений образования при реализации образовательных программ профессионально-технического образования и среднего специального образ</w:t>
            </w:r>
            <w:r>
              <w:t>ования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воспитатели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13. Учреждения образования (кроме учреждений образования, указанных в </w:t>
            </w:r>
            <w:hyperlink w:anchor="a6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настоящей графы, а также учреждений дополнительного образования детей и молодежи, воспитательно-оздоровительных учреждени</w:t>
            </w:r>
            <w:r>
              <w:t xml:space="preserve">й образования), учреждение образования «Национальный детский образовательно-оздоровительный центр «Зубренок», учреждение образования «Национальный детский технопарк», государственное учреждение образования «Минский городской образовательно-оздоровительный </w:t>
            </w:r>
            <w:r>
              <w:t>центр «Лидер»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педагоги дополнительного образования, заведующие отделами (секторами) по основной деятельности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14. Учреждения образования (кроме учреждений дополнительного образования детей и молодежи, учреждений дополнительного образования взрослых, вос</w:t>
            </w:r>
            <w:r>
              <w:t>питательно-оздоровительных учреждений образования), учреждение образования «Национальный детский образовательно-оздоровительный центр «Зубренок», учреждение образования «Национальный детский технопарк»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концертмейстеры, аккомпаниаторы, методисты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  <w:trHeight w:val="240"/>
        </w:trPr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19" w:name="a67"/>
            <w:bookmarkEnd w:id="19"/>
            <w:r>
              <w:t>15. Обо</w:t>
            </w:r>
            <w:r>
              <w:t>собленные и структурные подразделения организаций здравоохранения для оказания медицинской помощи больным детям (кроме обособленных и структурных подразделений организаций здравоохранения, указанных в </w:t>
            </w:r>
            <w:hyperlink w:anchor="a63" w:tooltip="+" w:history="1">
              <w:r>
                <w:rPr>
                  <w:rStyle w:val="a3"/>
                </w:rPr>
                <w:t>пункте 5</w:t>
              </w:r>
            </w:hyperlink>
            <w:r>
              <w:t xml:space="preserve"> настоящей гра</w:t>
            </w:r>
            <w:r>
              <w:t>фы)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r>
              <w:t>воспитатели, музыкальные руководители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42</w:t>
            </w:r>
          </w:p>
        </w:tc>
      </w:tr>
    </w:tbl>
    <w:p w:rsidR="00000000" w:rsidRDefault="00AB42BC">
      <w:pPr>
        <w:divId w:val="3790914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9091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42BC">
            <w:pPr>
              <w:rPr>
                <w:rFonts w:eastAsia="Times New Roman"/>
              </w:rPr>
            </w:pPr>
          </w:p>
        </w:tc>
      </w:tr>
    </w:tbl>
    <w:p w:rsidR="00000000" w:rsidRDefault="00AB42BC">
      <w:pPr>
        <w:divId w:val="3790914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9091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42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B42BC">
      <w:pPr>
        <w:divId w:val="3790914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9091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42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B42BC">
      <w:pPr>
        <w:divId w:val="3790914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9091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42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B42BC">
      <w:pPr>
        <w:pStyle w:val="newncpi"/>
        <w:divId w:val="3790914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7909149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append1"/>
            </w:pPr>
            <w:bookmarkStart w:id="20" w:name="a2"/>
            <w:bookmarkEnd w:id="20"/>
            <w:r>
              <w:t>Приложение 2</w:t>
            </w:r>
          </w:p>
          <w:p w:rsidR="00000000" w:rsidRDefault="00AB42BC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AB42BC">
            <w:pPr>
              <w:pStyle w:val="append"/>
            </w:pPr>
            <w:r>
              <w:t>24.01.2008 № 100</w:t>
            </w:r>
          </w:p>
        </w:tc>
      </w:tr>
    </w:tbl>
    <w:p w:rsidR="00000000" w:rsidRDefault="00AB42BC">
      <w:pPr>
        <w:pStyle w:val="titlep"/>
        <w:jc w:val="left"/>
        <w:divId w:val="379091491"/>
      </w:pPr>
      <w:bookmarkStart w:id="21" w:name="a5"/>
      <w:bookmarkEnd w:id="21"/>
      <w:r>
        <w:t>ПЕРЕЧЕНЬ</w:t>
      </w:r>
      <w:r>
        <w:br/>
      </w:r>
      <w:r>
        <w:t>категорий работников, продолжительность основного отпуска которых составляет более 24 календарных дней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2318"/>
      </w:tblGrid>
      <w:tr w:rsidR="00000000">
        <w:trPr>
          <w:divId w:val="379091491"/>
          <w:trHeight w:val="240"/>
        </w:trPr>
        <w:tc>
          <w:tcPr>
            <w:tcW w:w="3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B42BC">
            <w:pPr>
              <w:pStyle w:val="table10"/>
              <w:jc w:val="center"/>
            </w:pPr>
            <w:r>
              <w:lastRenderedPageBreak/>
              <w:t>Категория работников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B42BC">
            <w:pPr>
              <w:pStyle w:val="table10"/>
              <w:jc w:val="center"/>
            </w:pPr>
            <w:r>
              <w:t xml:space="preserve">Продолжительность </w:t>
            </w:r>
            <w:r>
              <w:br/>
              <w:t xml:space="preserve">основного отпуска </w:t>
            </w:r>
            <w:r>
              <w:br/>
              <w:t>(в календарных днях)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22" w:name="a36"/>
            <w:bookmarkEnd w:id="22"/>
            <w:r>
              <w:t>1. Работники профессиональных аварийно-спасательных служб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23" w:name="a33"/>
            <w:bookmarkEnd w:id="23"/>
            <w:r>
              <w:t>2. Работники, признанные инвалидами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24" w:name="a40"/>
            <w:bookmarkEnd w:id="24"/>
            <w:r>
              <w:t>3. Работники моложе восемнадцати лет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</w:pPr>
            <w:bookmarkStart w:id="25" w:name="a34"/>
            <w:bookmarkEnd w:id="25"/>
            <w:r>
              <w:t>4. Работники, работающие в зонах радиоактивного загрязнения в результате катастрофы на Чернобыльской АЭС: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ind w:left="284"/>
            </w:pPr>
            <w:bookmarkStart w:id="26" w:name="a46"/>
            <w:bookmarkEnd w:id="26"/>
            <w:r>
              <w:t>эвакуации (отчуждения), первоочередного отселения и последующего о</w:t>
            </w:r>
            <w:r>
              <w:t>тселения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44</w:t>
            </w:r>
          </w:p>
        </w:tc>
      </w:tr>
      <w:tr w:rsidR="00000000">
        <w:trPr>
          <w:divId w:val="379091491"/>
        </w:trPr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B42BC">
            <w:pPr>
              <w:pStyle w:val="table10"/>
              <w:spacing w:before="120"/>
              <w:ind w:left="284"/>
            </w:pPr>
            <w:bookmarkStart w:id="27" w:name="a47"/>
            <w:bookmarkEnd w:id="27"/>
            <w:r>
              <w:t>с правом на отселение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B42BC">
            <w:pPr>
              <w:pStyle w:val="table10"/>
              <w:spacing w:before="120"/>
              <w:jc w:val="center"/>
            </w:pPr>
            <w:r>
              <w:t>37</w:t>
            </w:r>
          </w:p>
        </w:tc>
      </w:tr>
    </w:tbl>
    <w:p w:rsidR="00AB42BC" w:rsidRDefault="00AB42BC">
      <w:pPr>
        <w:pStyle w:val="newncpi"/>
        <w:divId w:val="379091491"/>
      </w:pPr>
      <w:r>
        <w:t> </w:t>
      </w:r>
    </w:p>
    <w:sectPr w:rsidR="00AB42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0"/>
    <w:rsid w:val="0049051F"/>
    <w:rsid w:val="00AB42BC"/>
    <w:rsid w:val="00A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6CFA-A044-41AB-987F-2D7460E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276471&amp;a=1" TargetMode="External"/><Relationship Id="rId13" Type="http://schemas.openxmlformats.org/officeDocument/2006/relationships/hyperlink" Target="file:///C:\Users\Administrator\Downloads\tx.dll%3fd=33380&amp;a=6905" TargetMode="External"/><Relationship Id="rId18" Type="http://schemas.openxmlformats.org/officeDocument/2006/relationships/hyperlink" Target="file:///C:\Users\Administrator\Downloads\tx.dll%3fd=16613&amp;a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Administrator\Downloads\tx.dll%3fd=223621&amp;a=1" TargetMode="External"/><Relationship Id="rId12" Type="http://schemas.openxmlformats.org/officeDocument/2006/relationships/hyperlink" Target="file:///C:\Users\Administrator\Downloads\tx.dll%3fd=608453&amp;a=1" TargetMode="External"/><Relationship Id="rId17" Type="http://schemas.openxmlformats.org/officeDocument/2006/relationships/hyperlink" Target="file:///C:\Users\Administrator\Downloads\tx.dll%3fd=12248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14112&amp;a=1" TargetMode="External"/><Relationship Id="rId20" Type="http://schemas.openxmlformats.org/officeDocument/2006/relationships/hyperlink" Target="file:///C:\Users\Administrator\Downloads\tx.dll%3fd=26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213660&amp;a=1" TargetMode="External"/><Relationship Id="rId11" Type="http://schemas.openxmlformats.org/officeDocument/2006/relationships/hyperlink" Target="file:///C:\Users\Administrator\Downloads\tx.dll%3fd=456844&amp;a=1" TargetMode="External"/><Relationship Id="rId5" Type="http://schemas.openxmlformats.org/officeDocument/2006/relationships/hyperlink" Target="file:///C:\Users\Administrator\Downloads\tx.dll%3fd=167431&amp;a=1" TargetMode="External"/><Relationship Id="rId15" Type="http://schemas.openxmlformats.org/officeDocument/2006/relationships/hyperlink" Target="file:///C:\Users\Administrator\Downloads\tx.dll%3fd=6441&amp;a=2" TargetMode="External"/><Relationship Id="rId10" Type="http://schemas.openxmlformats.org/officeDocument/2006/relationships/hyperlink" Target="file:///C:\Users\Administrator\Downloads\tx.dll%3fd=420781&amp;a=6" TargetMode="External"/><Relationship Id="rId19" Type="http://schemas.openxmlformats.org/officeDocument/2006/relationships/hyperlink" Target="file:///C:\Users\Administrator\Downloads\tx.dll%3fd=1615&amp;a=1" TargetMode="External"/><Relationship Id="rId4" Type="http://schemas.openxmlformats.org/officeDocument/2006/relationships/hyperlink" Target="file:///C:\Users\Administrator\Downloads\tx.dll%3fd=140899&amp;a=1" TargetMode="External"/><Relationship Id="rId9" Type="http://schemas.openxmlformats.org/officeDocument/2006/relationships/hyperlink" Target="file:///C:\Users\Administrator\Downloads\tx.dll%3fd=420781&amp;a=6" TargetMode="External"/><Relationship Id="rId14" Type="http://schemas.openxmlformats.org/officeDocument/2006/relationships/hyperlink" Target="file:///C:\Users\Administrator\Downloads\tx.dll%3fd=33380&amp;a=66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2023-11-14T05:56:00Z</dcterms:created>
  <dcterms:modified xsi:type="dcterms:W3CDTF">2023-11-14T05:56:00Z</dcterms:modified>
</cp:coreProperties>
</file>